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58A" w:rsidRPr="00853506" w:rsidRDefault="004537C2">
      <w:pPr>
        <w:spacing w:line="100" w:lineRule="atLeast"/>
        <w:jc w:val="right"/>
        <w:rPr>
          <w:rFonts w:ascii="Corbel" w:hAnsi="Corbel" w:cs="Corbel"/>
          <w:b/>
          <w:smallCaps/>
          <w:sz w:val="24"/>
          <w:szCs w:val="24"/>
        </w:rPr>
      </w:pPr>
      <w:bookmarkStart w:id="0" w:name="Bookmark"/>
      <w:bookmarkEnd w:id="0"/>
      <w:r w:rsidRPr="00853506">
        <w:rPr>
          <w:rFonts w:ascii="Corbel" w:hAnsi="Corbel" w:cs="Corbel"/>
          <w:b/>
          <w:bCs/>
        </w:rPr>
        <w:t xml:space="preserve">   </w:t>
      </w:r>
      <w:r w:rsidRPr="00853506">
        <w:rPr>
          <w:rFonts w:ascii="Corbel" w:hAnsi="Corbel" w:cs="Corbel"/>
          <w:b/>
          <w:bCs/>
        </w:rPr>
        <w:tab/>
      </w:r>
      <w:r w:rsidRPr="00853506">
        <w:rPr>
          <w:rFonts w:ascii="Corbel" w:hAnsi="Corbel" w:cs="Corbel"/>
          <w:b/>
          <w:bCs/>
        </w:rPr>
        <w:tab/>
      </w:r>
      <w:r w:rsidRPr="00853506">
        <w:rPr>
          <w:rFonts w:ascii="Corbel" w:hAnsi="Corbel" w:cs="Corbel"/>
          <w:b/>
          <w:bCs/>
        </w:rPr>
        <w:tab/>
      </w:r>
      <w:r w:rsidRPr="00853506">
        <w:rPr>
          <w:rFonts w:ascii="Corbel" w:hAnsi="Corbel" w:cs="Corbel"/>
          <w:b/>
          <w:bCs/>
        </w:rPr>
        <w:tab/>
      </w:r>
      <w:r w:rsidRPr="00853506">
        <w:rPr>
          <w:rFonts w:ascii="Corbel" w:hAnsi="Corbel" w:cs="Corbel"/>
          <w:b/>
          <w:bCs/>
        </w:rPr>
        <w:tab/>
      </w:r>
      <w:r w:rsidRPr="00853506">
        <w:rPr>
          <w:rFonts w:ascii="Corbel" w:hAnsi="Corbel" w:cs="Corbel"/>
          <w:b/>
          <w:bCs/>
        </w:rPr>
        <w:tab/>
      </w:r>
      <w:r w:rsidRPr="00853506">
        <w:rPr>
          <w:rFonts w:ascii="Corbel" w:hAnsi="Corbel" w:cs="Corbel"/>
          <w:bCs/>
          <w:i/>
        </w:rPr>
        <w:t>Załącznik nr 1.5 do Zarządzenia Rektora UR  nr 12/2019</w:t>
      </w:r>
    </w:p>
    <w:p w:rsidR="003D558A" w:rsidRPr="00853506" w:rsidRDefault="004537C2">
      <w:pPr>
        <w:spacing w:after="0" w:line="100" w:lineRule="atLeast"/>
        <w:jc w:val="center"/>
        <w:rPr>
          <w:rFonts w:ascii="Corbel" w:hAnsi="Corbel" w:cs="Corbel"/>
          <w:b/>
          <w:smallCaps/>
          <w:sz w:val="24"/>
          <w:szCs w:val="24"/>
        </w:rPr>
      </w:pPr>
      <w:r w:rsidRPr="00853506">
        <w:rPr>
          <w:rFonts w:ascii="Corbel" w:hAnsi="Corbel" w:cs="Corbel"/>
          <w:b/>
          <w:smallCaps/>
          <w:sz w:val="24"/>
          <w:szCs w:val="24"/>
        </w:rPr>
        <w:t>SYLABUS</w:t>
      </w:r>
    </w:p>
    <w:p w:rsidR="003D558A" w:rsidRPr="00853506" w:rsidRDefault="004537C2">
      <w:pPr>
        <w:spacing w:after="0" w:line="240" w:lineRule="exact"/>
        <w:jc w:val="center"/>
        <w:rPr>
          <w:rFonts w:ascii="Corbel" w:hAnsi="Corbel" w:cs="Corbel"/>
          <w:b/>
          <w:i/>
          <w:smallCaps/>
          <w:sz w:val="20"/>
          <w:szCs w:val="24"/>
        </w:rPr>
      </w:pPr>
      <w:r w:rsidRPr="00853506">
        <w:rPr>
          <w:rFonts w:ascii="Corbel" w:hAnsi="Corbel" w:cs="Corbel"/>
          <w:b/>
          <w:smallCaps/>
          <w:sz w:val="24"/>
          <w:szCs w:val="24"/>
        </w:rPr>
        <w:t xml:space="preserve">dotyczy cyklu kształcenia </w:t>
      </w:r>
      <w:r w:rsidR="00E84C20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3506" w:rsidRPr="00853506" w:rsidRDefault="00853506" w:rsidP="00853506">
      <w:pPr>
        <w:ind w:left="5664"/>
        <w:rPr>
          <w:rFonts w:ascii="Corbel" w:hAnsi="Corbel"/>
          <w:sz w:val="20"/>
        </w:rPr>
      </w:pPr>
      <w:r w:rsidRPr="00853506">
        <w:rPr>
          <w:rFonts w:ascii="Corbel" w:hAnsi="Corbel"/>
          <w:sz w:val="20"/>
        </w:rPr>
        <w:t>(skrajne daty)</w:t>
      </w:r>
    </w:p>
    <w:p w:rsidR="003D558A" w:rsidRPr="00853506" w:rsidRDefault="004537C2">
      <w:pPr>
        <w:spacing w:after="0" w:line="240" w:lineRule="exact"/>
        <w:jc w:val="center"/>
        <w:rPr>
          <w:rFonts w:ascii="Corbel" w:hAnsi="Corbel" w:cs="Corbel"/>
          <w:sz w:val="24"/>
          <w:szCs w:val="24"/>
        </w:rPr>
      </w:pPr>
      <w:r w:rsidRPr="00853506">
        <w:rPr>
          <w:rFonts w:ascii="Corbel" w:hAnsi="Corbel" w:cs="Corbel"/>
          <w:b/>
          <w:i/>
          <w:smallCaps/>
          <w:sz w:val="20"/>
          <w:szCs w:val="24"/>
        </w:rPr>
        <w:t xml:space="preserve">Rok akademicki </w:t>
      </w:r>
      <w:r w:rsidR="00E84C20">
        <w:rPr>
          <w:rFonts w:ascii="Corbel" w:hAnsi="Corbel"/>
          <w:color w:val="000000"/>
        </w:rPr>
        <w:t>2021/2022</w:t>
      </w:r>
      <w:bookmarkStart w:id="1" w:name="_GoBack"/>
      <w:bookmarkEnd w:id="1"/>
    </w:p>
    <w:p w:rsidR="003D558A" w:rsidRPr="00853506" w:rsidRDefault="003D558A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:rsidR="003D558A" w:rsidRPr="00853506" w:rsidRDefault="004537C2">
      <w:pPr>
        <w:pStyle w:val="Punktygwne"/>
        <w:spacing w:before="0" w:after="0"/>
        <w:rPr>
          <w:rFonts w:ascii="Corbel" w:hAnsi="Corbel" w:cs="Corbel"/>
          <w:szCs w:val="24"/>
        </w:rPr>
      </w:pPr>
      <w:r w:rsidRPr="00853506"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-49" w:type="dxa"/>
        <w:tblLayout w:type="fixed"/>
        <w:tblLook w:val="0000" w:firstRow="0" w:lastRow="0" w:firstColumn="0" w:lastColumn="0" w:noHBand="0" w:noVBand="0"/>
      </w:tblPr>
      <w:tblGrid>
        <w:gridCol w:w="2693"/>
        <w:gridCol w:w="7117"/>
      </w:tblGrid>
      <w:tr w:rsidR="003D558A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bCs/>
                <w:sz w:val="22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Odpowiedzi"/>
              <w:spacing w:before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Cs/>
                <w:sz w:val="22"/>
                <w:szCs w:val="24"/>
              </w:rPr>
              <w:t>Dostęp do informacji niejawnej</w:t>
            </w:r>
          </w:p>
        </w:tc>
      </w:tr>
      <w:tr w:rsidR="003D558A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Odpowiedzi"/>
              <w:spacing w:before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>PRA42</w:t>
            </w:r>
          </w:p>
        </w:tc>
      </w:tr>
      <w:tr w:rsidR="003D558A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58A" w:rsidRPr="00853506" w:rsidRDefault="00853506" w:rsidP="00853506">
            <w:pPr>
              <w:pStyle w:val="Odpowiedzi"/>
              <w:spacing w:before="0" w:after="100"/>
              <w:rPr>
                <w:rFonts w:ascii="Corbel" w:hAnsi="Corbel"/>
                <w:b w:val="0"/>
                <w:sz w:val="22"/>
              </w:rPr>
            </w:pPr>
            <w:r w:rsidRPr="00853506">
              <w:rPr>
                <w:rFonts w:ascii="Corbel" w:hAnsi="Corbel"/>
                <w:b w:val="0"/>
                <w:sz w:val="22"/>
              </w:rPr>
              <w:t xml:space="preserve">Kolegium Nauk Społecznych </w:t>
            </w:r>
          </w:p>
        </w:tc>
      </w:tr>
      <w:tr w:rsidR="003D558A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58A" w:rsidRPr="00853506" w:rsidRDefault="00853506" w:rsidP="00853506">
            <w:pPr>
              <w:pStyle w:val="Odpowiedzi"/>
              <w:spacing w:before="0"/>
              <w:rPr>
                <w:rFonts w:ascii="Corbel" w:hAnsi="Corbel"/>
                <w:b w:val="0"/>
                <w:sz w:val="22"/>
              </w:rPr>
            </w:pPr>
            <w:r w:rsidRPr="00853506">
              <w:rPr>
                <w:rFonts w:ascii="Corbel" w:hAnsi="Corbel"/>
                <w:b w:val="0"/>
                <w:sz w:val="22"/>
              </w:rPr>
              <w:t xml:space="preserve">Kolegium Nauk Społecznych </w:t>
            </w:r>
          </w:p>
        </w:tc>
      </w:tr>
      <w:tr w:rsidR="003D558A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Odpowiedzi"/>
              <w:spacing w:before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>Administracja</w:t>
            </w:r>
          </w:p>
        </w:tc>
      </w:tr>
      <w:tr w:rsidR="003D558A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Odpowiedzi"/>
              <w:spacing w:before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>Studia I stopnia</w:t>
            </w:r>
          </w:p>
        </w:tc>
      </w:tr>
      <w:tr w:rsidR="003D558A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Odpowiedzi"/>
              <w:spacing w:before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>Praktyczny</w:t>
            </w:r>
          </w:p>
        </w:tc>
      </w:tr>
      <w:tr w:rsidR="003D558A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Odpowiedzi"/>
              <w:spacing w:before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>Niestacjonarne</w:t>
            </w:r>
          </w:p>
        </w:tc>
      </w:tr>
      <w:tr w:rsidR="003D558A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Odpowiedzi"/>
              <w:spacing w:before="0" w:line="240" w:lineRule="auto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 xml:space="preserve">Rok </w:t>
            </w:r>
            <w:r w:rsidRPr="00853506">
              <w:rPr>
                <w:rFonts w:ascii="Corbel" w:hAnsi="Corbel" w:cs="Corbel"/>
                <w:b w:val="0"/>
                <w:sz w:val="24"/>
                <w:szCs w:val="24"/>
              </w:rPr>
              <w:t>III</w:t>
            </w:r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>, semestr VI</w:t>
            </w:r>
          </w:p>
        </w:tc>
      </w:tr>
      <w:tr w:rsidR="003D558A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Odpowiedzi"/>
              <w:spacing w:before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>Fakultatywny</w:t>
            </w:r>
          </w:p>
        </w:tc>
      </w:tr>
      <w:tr w:rsidR="003D558A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Odpowiedzi"/>
              <w:spacing w:before="0" w:after="10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 w:val="24"/>
                <w:szCs w:val="24"/>
              </w:rPr>
              <w:t>polski</w:t>
            </w:r>
          </w:p>
        </w:tc>
      </w:tr>
      <w:tr w:rsidR="003D558A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Odpowiedzi"/>
              <w:spacing w:before="0" w:line="240" w:lineRule="auto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>dr hab. prof. UR Artur Łuszczyński</w:t>
            </w:r>
          </w:p>
        </w:tc>
      </w:tr>
      <w:tr w:rsidR="003D558A" w:rsidRPr="0085350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Odpowiedzi"/>
              <w:spacing w:before="0" w:line="240" w:lineRule="auto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 xml:space="preserve">dr Robert Zapart, dr Marcin Niemczyk, dr Marcin </w:t>
            </w:r>
            <w:proofErr w:type="spellStart"/>
            <w:r w:rsidRPr="00853506">
              <w:rPr>
                <w:rFonts w:ascii="Corbel" w:hAnsi="Corbel" w:cs="Corbel"/>
                <w:b w:val="0"/>
                <w:color w:val="auto"/>
                <w:sz w:val="22"/>
                <w:szCs w:val="24"/>
              </w:rPr>
              <w:t>Merkwa</w:t>
            </w:r>
            <w:proofErr w:type="spellEnd"/>
          </w:p>
        </w:tc>
      </w:tr>
    </w:tbl>
    <w:p w:rsidR="003D558A" w:rsidRPr="00853506" w:rsidRDefault="004537C2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 w:rsidRPr="00853506">
        <w:rPr>
          <w:rFonts w:ascii="Corbel" w:hAnsi="Corbel" w:cs="Corbel"/>
          <w:sz w:val="24"/>
          <w:szCs w:val="24"/>
        </w:rPr>
        <w:t xml:space="preserve">* </w:t>
      </w:r>
      <w:r w:rsidRPr="00853506">
        <w:rPr>
          <w:rFonts w:ascii="Corbel" w:hAnsi="Corbel" w:cs="Corbel"/>
          <w:i/>
          <w:sz w:val="24"/>
          <w:szCs w:val="24"/>
        </w:rPr>
        <w:t>-</w:t>
      </w:r>
      <w:r w:rsidRPr="00853506">
        <w:rPr>
          <w:rFonts w:ascii="Corbel" w:hAnsi="Corbel" w:cs="Corbel"/>
          <w:b w:val="0"/>
          <w:i/>
          <w:sz w:val="24"/>
          <w:szCs w:val="24"/>
        </w:rPr>
        <w:t>opcjonalni</w:t>
      </w:r>
      <w:r w:rsidRPr="00853506">
        <w:rPr>
          <w:rFonts w:ascii="Corbel" w:hAnsi="Corbel" w:cs="Corbel"/>
          <w:b w:val="0"/>
          <w:sz w:val="24"/>
          <w:szCs w:val="24"/>
        </w:rPr>
        <w:t>e,</w:t>
      </w:r>
      <w:r w:rsidRPr="00853506">
        <w:rPr>
          <w:rFonts w:ascii="Corbel" w:hAnsi="Corbel" w:cs="Corbel"/>
          <w:i/>
          <w:sz w:val="24"/>
          <w:szCs w:val="24"/>
        </w:rPr>
        <w:t xml:space="preserve"> </w:t>
      </w:r>
      <w:r w:rsidRPr="00853506"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3D558A" w:rsidRPr="00853506" w:rsidRDefault="003D558A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3D558A" w:rsidRPr="00853506" w:rsidRDefault="004537C2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853506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3D558A" w:rsidRPr="00853506" w:rsidRDefault="003D558A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048"/>
        <w:gridCol w:w="913"/>
        <w:gridCol w:w="787"/>
        <w:gridCol w:w="850"/>
        <w:gridCol w:w="801"/>
        <w:gridCol w:w="821"/>
        <w:gridCol w:w="762"/>
        <w:gridCol w:w="948"/>
        <w:gridCol w:w="1188"/>
        <w:gridCol w:w="1539"/>
      </w:tblGrid>
      <w:tr w:rsidR="003D558A" w:rsidRPr="00853506" w:rsidTr="00853506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853506">
              <w:rPr>
                <w:rFonts w:ascii="Corbel" w:hAnsi="Corbel" w:cs="Corbel"/>
                <w:szCs w:val="24"/>
              </w:rPr>
              <w:t>Semestr</w:t>
            </w:r>
          </w:p>
          <w:p w:rsidR="003D558A" w:rsidRPr="00853506" w:rsidRDefault="004537C2" w:rsidP="00853506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853506"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853506">
              <w:rPr>
                <w:rFonts w:ascii="Corbel" w:hAnsi="Corbel" w:cs="Corbel"/>
                <w:szCs w:val="24"/>
              </w:rPr>
              <w:t>Wykł</w:t>
            </w:r>
            <w:proofErr w:type="spellEnd"/>
            <w:r w:rsidRPr="00853506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853506"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853506">
              <w:rPr>
                <w:rFonts w:ascii="Corbel" w:hAnsi="Corbel" w:cs="Corbel"/>
                <w:szCs w:val="24"/>
              </w:rPr>
              <w:t>Konw</w:t>
            </w:r>
            <w:proofErr w:type="spellEnd"/>
            <w:r w:rsidRPr="00853506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853506"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853506">
              <w:rPr>
                <w:rFonts w:ascii="Corbel" w:hAnsi="Corbel" w:cs="Corbel"/>
                <w:szCs w:val="24"/>
              </w:rPr>
              <w:t>Sem</w:t>
            </w:r>
            <w:proofErr w:type="spellEnd"/>
            <w:r w:rsidRPr="00853506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853506"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853506">
              <w:rPr>
                <w:rFonts w:ascii="Corbel" w:hAnsi="Corbel" w:cs="Corbel"/>
                <w:szCs w:val="24"/>
              </w:rPr>
              <w:t>Prakt</w:t>
            </w:r>
            <w:proofErr w:type="spellEnd"/>
            <w:r w:rsidRPr="00853506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 w:rsidRPr="00853506"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Nagwkitablic"/>
              <w:spacing w:after="0" w:line="100" w:lineRule="atLeast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3D558A" w:rsidRPr="00853506" w:rsidTr="00853506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3D558A" w:rsidP="00853506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3D558A" w:rsidP="00853506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3D558A" w:rsidP="00853506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3D558A" w:rsidP="00853506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3D558A" w:rsidP="00853506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3D558A" w:rsidP="00853506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3D558A" w:rsidP="00853506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 w:rsidP="00853506">
            <w:pPr>
              <w:pStyle w:val="centralniewrubryc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:rsidR="003D558A" w:rsidRPr="00853506" w:rsidRDefault="003D558A">
      <w:pPr>
        <w:pStyle w:val="Podpunkty"/>
        <w:ind w:left="0"/>
        <w:rPr>
          <w:rFonts w:ascii="Corbel" w:hAnsi="Corbel" w:cs="Corbel"/>
          <w:b w:val="0"/>
          <w:sz w:val="24"/>
          <w:szCs w:val="24"/>
        </w:rPr>
      </w:pPr>
    </w:p>
    <w:p w:rsidR="003D558A" w:rsidRPr="00853506" w:rsidRDefault="004537C2">
      <w:pPr>
        <w:pStyle w:val="Punktygwne"/>
        <w:tabs>
          <w:tab w:val="left" w:pos="709"/>
        </w:tabs>
        <w:spacing w:before="0" w:after="0"/>
        <w:ind w:left="284"/>
        <w:rPr>
          <w:rFonts w:ascii="Corbel" w:eastAsia="MS Gothic" w:hAnsi="Corbel" w:cs="Corbel"/>
          <w:b w:val="0"/>
          <w:smallCaps w:val="0"/>
          <w:szCs w:val="24"/>
        </w:rPr>
      </w:pPr>
      <w:r w:rsidRPr="00853506">
        <w:rPr>
          <w:rFonts w:ascii="Corbel" w:hAnsi="Corbel" w:cs="Corbel"/>
          <w:smallCaps w:val="0"/>
          <w:szCs w:val="24"/>
        </w:rPr>
        <w:t>1.2.</w:t>
      </w:r>
      <w:r w:rsidRPr="00853506"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:rsidR="003D558A" w:rsidRPr="00853506" w:rsidRDefault="004537C2">
      <w:pPr>
        <w:pStyle w:val="Punktygwne"/>
        <w:spacing w:before="0" w:after="0"/>
        <w:ind w:left="709"/>
        <w:rPr>
          <w:rFonts w:ascii="Corbel" w:eastAsia="MS Gothic" w:hAnsi="Corbel" w:cs="Corbel"/>
          <w:b w:val="0"/>
          <w:smallCaps w:val="0"/>
          <w:szCs w:val="24"/>
        </w:rPr>
      </w:pPr>
      <w:r w:rsidRPr="00853506">
        <w:rPr>
          <w:rFonts w:ascii="Corbel" w:eastAsia="MS Gothic" w:hAnsi="Corbel" w:cs="Corbel"/>
          <w:b w:val="0"/>
          <w:smallCaps w:val="0"/>
          <w:szCs w:val="24"/>
        </w:rPr>
        <w:t>X</w:t>
      </w:r>
      <w:r w:rsidRPr="00853506">
        <w:rPr>
          <w:rFonts w:ascii="Corbel" w:hAnsi="Corbel" w:cs="Corbel"/>
          <w:b w:val="0"/>
          <w:smallCaps w:val="0"/>
          <w:szCs w:val="24"/>
        </w:rPr>
        <w:t xml:space="preserve"> zajęcia w formie tradycyjnej </w:t>
      </w:r>
    </w:p>
    <w:p w:rsidR="003D558A" w:rsidRPr="00853506" w:rsidRDefault="004537C2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 w:rsidRPr="00853506">
        <w:rPr>
          <w:rFonts w:ascii="Corbel" w:eastAsia="MS Gothic" w:hAnsi="Corbel" w:cs="Corbel"/>
          <w:b w:val="0"/>
          <w:smallCaps w:val="0"/>
          <w:szCs w:val="24"/>
        </w:rPr>
        <w:t>X</w:t>
      </w:r>
      <w:r w:rsidRPr="00853506"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3D558A" w:rsidRPr="00853506" w:rsidRDefault="003D558A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3D558A" w:rsidRPr="00853506" w:rsidRDefault="004537C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zCs w:val="24"/>
        </w:rPr>
      </w:pPr>
      <w:r w:rsidRPr="00853506">
        <w:rPr>
          <w:rFonts w:ascii="Corbel" w:hAnsi="Corbel" w:cs="Corbel"/>
          <w:smallCaps w:val="0"/>
          <w:szCs w:val="24"/>
        </w:rPr>
        <w:t xml:space="preserve">1.3 </w:t>
      </w:r>
      <w:r w:rsidRPr="00853506"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  <w:r w:rsidRPr="00853506">
        <w:rPr>
          <w:rFonts w:ascii="Corbel" w:hAnsi="Corbel" w:cs="Corbel"/>
          <w:b w:val="0"/>
          <w:smallCaps w:val="0"/>
          <w:szCs w:val="24"/>
        </w:rPr>
        <w:t xml:space="preserve">(egzamin, </w:t>
      </w:r>
      <w:r w:rsidRPr="00853506">
        <w:rPr>
          <w:rFonts w:ascii="Corbel" w:hAnsi="Corbel" w:cs="Corbel"/>
          <w:smallCaps w:val="0"/>
          <w:szCs w:val="24"/>
        </w:rPr>
        <w:t>zaliczenie z oceną</w:t>
      </w:r>
      <w:r w:rsidRPr="00853506">
        <w:rPr>
          <w:rFonts w:ascii="Corbel" w:hAnsi="Corbel" w:cs="Corbel"/>
          <w:b w:val="0"/>
          <w:smallCaps w:val="0"/>
          <w:szCs w:val="24"/>
        </w:rPr>
        <w:t>, zaliczenie bez oceny)</w:t>
      </w:r>
    </w:p>
    <w:p w:rsidR="003D558A" w:rsidRPr="00853506" w:rsidRDefault="003D558A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3D558A" w:rsidRPr="00853506" w:rsidRDefault="004537C2">
      <w:pPr>
        <w:pStyle w:val="Punktygwne"/>
        <w:spacing w:before="0" w:after="0"/>
        <w:rPr>
          <w:rFonts w:ascii="Corbel" w:hAnsi="Corbel" w:cs="Corbel"/>
          <w:smallCaps w:val="0"/>
          <w:color w:val="000000"/>
          <w:szCs w:val="24"/>
        </w:rPr>
      </w:pPr>
      <w:r w:rsidRPr="00853506">
        <w:rPr>
          <w:rFonts w:ascii="Corbel" w:hAnsi="Corbel" w:cs="Corbel"/>
          <w:smallCaps w:val="0"/>
          <w:color w:val="000000"/>
          <w:szCs w:val="24"/>
        </w:rPr>
        <w:t xml:space="preserve">2.Wymagania wstępne </w:t>
      </w:r>
    </w:p>
    <w:p w:rsidR="00853506" w:rsidRPr="00853506" w:rsidRDefault="00853506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9550"/>
      </w:tblGrid>
      <w:tr w:rsidR="003D558A" w:rsidRPr="00853506">
        <w:tc>
          <w:tcPr>
            <w:tcW w:w="9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853506">
            <w:pPr>
              <w:pStyle w:val="Punktygwne"/>
              <w:spacing w:before="40" w:after="4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B</w:t>
            </w:r>
            <w:r w:rsidR="004537C2" w:rsidRPr="00853506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:rsidR="00853506" w:rsidRDefault="00853506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3D558A" w:rsidRPr="00853506" w:rsidRDefault="00853506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br w:type="column"/>
      </w:r>
      <w:r w:rsidR="004537C2" w:rsidRPr="00853506">
        <w:rPr>
          <w:rFonts w:ascii="Corbel" w:hAnsi="Corbel" w:cs="Corbel"/>
          <w:szCs w:val="24"/>
        </w:rPr>
        <w:lastRenderedPageBreak/>
        <w:t>3. cele, efekty uczenia się , treści Programowe i stosowane metody Dydaktyczne</w:t>
      </w:r>
    </w:p>
    <w:p w:rsidR="003D558A" w:rsidRPr="00853506" w:rsidRDefault="003D558A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3D558A" w:rsidRPr="00853506" w:rsidRDefault="004537C2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 w:rsidRPr="00853506">
        <w:rPr>
          <w:rFonts w:ascii="Corbel" w:hAnsi="Corbel" w:cs="Corbel"/>
          <w:sz w:val="24"/>
          <w:szCs w:val="24"/>
        </w:rPr>
        <w:t>3.1 Cele przedmiotu</w:t>
      </w:r>
    </w:p>
    <w:p w:rsidR="003D558A" w:rsidRPr="00853506" w:rsidRDefault="003D558A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844"/>
        <w:gridCol w:w="8705"/>
      </w:tblGrid>
      <w:tr w:rsidR="003D558A" w:rsidRPr="00853506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i/>
                <w:sz w:val="24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i/>
                <w:sz w:val="24"/>
                <w:szCs w:val="24"/>
              </w:rPr>
              <w:t>Celem jest uzyskanie przez studenta wiedzy na temat zagadnień związanych z bezpieczeństwem informacji i ochroną informacji niejawnych.</w:t>
            </w:r>
          </w:p>
        </w:tc>
      </w:tr>
    </w:tbl>
    <w:p w:rsidR="003D558A" w:rsidRPr="00853506" w:rsidRDefault="003D558A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:rsidR="003D558A" w:rsidRPr="00853506" w:rsidRDefault="004537C2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 w:rsidRPr="00853506">
        <w:rPr>
          <w:rFonts w:ascii="Corbel" w:hAnsi="Corbel" w:cs="Corbel"/>
          <w:b/>
          <w:sz w:val="24"/>
          <w:szCs w:val="24"/>
        </w:rPr>
        <w:t>3.2 Efekty uczenia się dla przedmiotu</w:t>
      </w:r>
      <w:r w:rsidRPr="00853506">
        <w:rPr>
          <w:rFonts w:ascii="Corbel" w:hAnsi="Corbel" w:cs="Corbel"/>
          <w:sz w:val="24"/>
          <w:szCs w:val="24"/>
        </w:rPr>
        <w:t xml:space="preserve"> </w:t>
      </w:r>
    </w:p>
    <w:p w:rsidR="003D558A" w:rsidRPr="00853506" w:rsidRDefault="003D558A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1680"/>
        <w:gridCol w:w="5974"/>
        <w:gridCol w:w="1896"/>
      </w:tblGrid>
      <w:tr w:rsidR="003D558A" w:rsidRPr="00853506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853506">
              <w:rPr>
                <w:rFonts w:ascii="Corbel" w:hAnsi="Corbel" w:cs="Corbel"/>
                <w:smallCaps w:val="0"/>
                <w:szCs w:val="24"/>
              </w:rPr>
              <w:t>EK</w:t>
            </w: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53506">
              <w:rPr>
                <w:rStyle w:val="Odwoanieprzypisudolnego"/>
                <w:rFonts w:ascii="Corbel" w:hAnsi="Corbel" w:cs="Corbel"/>
              </w:rPr>
              <w:footnoteReference w:id="1"/>
            </w:r>
          </w:p>
        </w:tc>
      </w:tr>
      <w:tr w:rsidR="003D558A" w:rsidRPr="00853506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-  student definiuje podstawowe pojęcia związane z informacją niejawną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pacing w:after="0" w:line="240" w:lineRule="auto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K_W03</w:t>
            </w:r>
          </w:p>
        </w:tc>
      </w:tr>
      <w:tr w:rsidR="003D558A" w:rsidRPr="00853506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-  wyjaśnia źródła zagrożeń w obszarze informacji chronionej, indywidualizuje zagrożenia podejmując stosowne decyzje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K_W07</w:t>
            </w:r>
          </w:p>
        </w:tc>
      </w:tr>
      <w:tr w:rsidR="003D558A" w:rsidRPr="00853506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 xml:space="preserve">-  klasyfikuje klauzule tajności oraz zakresy przedmiotowe i podmiotowe związane z ochroną informacji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K_W04</w:t>
            </w:r>
          </w:p>
        </w:tc>
      </w:tr>
      <w:tr w:rsidR="003D558A" w:rsidRPr="00853506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- analizuje i interpretuje oraz wyciąga wnioski praktyczne formułując stosowne opinie na temat ochrony informacji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K_U05</w:t>
            </w:r>
          </w:p>
        </w:tc>
      </w:tr>
      <w:tr w:rsidR="003D558A" w:rsidRPr="00853506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 xml:space="preserve">- </w:t>
            </w:r>
            <w:r w:rsidRPr="00853506">
              <w:rPr>
                <w:rFonts w:ascii="Corbel" w:hAnsi="Corbel" w:cs="Corbel"/>
              </w:rPr>
              <w:t xml:space="preserve">Posiada umiejętność spójnego, logicznego, merytorycznego myślenia i wypowiedzi w mowie i piśmie  m.in. poprzez </w:t>
            </w: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identyfikację miejsca występowania informacji niejawnej w administracji publicznej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K_U08</w:t>
            </w:r>
          </w:p>
        </w:tc>
      </w:tr>
      <w:tr w:rsidR="003D558A" w:rsidRPr="00853506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- identyfikuje warunki dostępu do informacji niejawnej w administracji publicznej oraz podmiotach prywatnych współpracujących w sferze bezpieczeństwa państwa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K_U09</w:t>
            </w:r>
          </w:p>
        </w:tc>
      </w:tr>
      <w:tr w:rsidR="003D558A" w:rsidRPr="00853506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- analizuje zmiany w ustawodawstwie prawnym związane ze zmianami w systemie bezpieczeństwa państwa i administracji publicznej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K_U10</w:t>
            </w:r>
          </w:p>
        </w:tc>
      </w:tr>
      <w:tr w:rsidR="003D558A" w:rsidRPr="00853506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- identyfikuje warunki dostępu do informacji niejawnej oraz przyporządkowuje stosowne klauzule niejawności odpowiednim dokumentom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K_U12</w:t>
            </w:r>
          </w:p>
        </w:tc>
      </w:tr>
      <w:tr w:rsidR="003D558A" w:rsidRPr="00853506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- potrafi przygotować projekty ochrony dokumentów niejawnych zgodnych z warunkami normatywnymi z zakresu nauk prawnych i nauk o administracji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K_U13</w:t>
            </w:r>
          </w:p>
        </w:tc>
      </w:tr>
      <w:tr w:rsidR="003D558A" w:rsidRPr="00853506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- potrafi merytorycznie uczestniczyć w dyskusji na temat zastosowanych warunków ochrony informacji niejawnych, prawidłowo rozstrzygając zaistniałe wątpliwości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K_U15</w:t>
            </w:r>
          </w:p>
        </w:tc>
      </w:tr>
      <w:tr w:rsidR="003D558A" w:rsidRPr="00853506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- dysponuje świadomością na temat konieczności ochrony informacji niejawnej i analizuje możliwości pozyskiwania w tej dziedzinie dodatkowych uprawnień zawodowych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K_U17</w:t>
            </w:r>
          </w:p>
        </w:tc>
      </w:tr>
      <w:tr w:rsidR="003D558A" w:rsidRPr="00853506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- przygotowuje rozwiązania służące ochronie informacji i potrafi uzasadnić własne stanowisko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K_K05</w:t>
            </w:r>
          </w:p>
        </w:tc>
      </w:tr>
      <w:tr w:rsidR="003D558A" w:rsidRPr="00853506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pacing w:after="0" w:line="240" w:lineRule="auto"/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Cs w:val="24"/>
                <w:lang w:eastAsia="hi-IN" w:bidi="hi-IN"/>
              </w:rPr>
              <w:t>- projektuje rozwiązania prawne służące ochronie informacji na różnych szczeblach zarządzania w administracji publicznej, uwzględniając aspekty prawne, ekonomiczne i polityczne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K_K06</w:t>
            </w:r>
          </w:p>
        </w:tc>
      </w:tr>
      <w:tr w:rsidR="003D558A" w:rsidRPr="00853506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widowControl w:val="0"/>
              <w:spacing w:before="0" w:after="0" w:line="240" w:lineRule="auto"/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 xml:space="preserve">- kompletuje wiedzę i materiały na temat konieczności ochrony podstawowych dla funkcjonowania państwa oraz innych podmiotów informacji. </w:t>
            </w:r>
          </w:p>
        </w:tc>
        <w:tc>
          <w:tcPr>
            <w:tcW w:w="1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b w:val="0"/>
                <w:smallCaps w:val="0"/>
                <w:kern w:val="1"/>
                <w:sz w:val="22"/>
                <w:szCs w:val="24"/>
                <w:lang w:eastAsia="hi-IN" w:bidi="hi-IN"/>
              </w:rPr>
              <w:t>K_K07</w:t>
            </w:r>
          </w:p>
        </w:tc>
      </w:tr>
    </w:tbl>
    <w:p w:rsidR="003D558A" w:rsidRPr="00853506" w:rsidRDefault="004537C2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 w:rsidRPr="00853506">
        <w:rPr>
          <w:rFonts w:ascii="Corbel" w:hAnsi="Corbel" w:cs="Corbel"/>
          <w:b/>
          <w:sz w:val="24"/>
          <w:szCs w:val="24"/>
        </w:rPr>
        <w:lastRenderedPageBreak/>
        <w:t xml:space="preserve">3.3 Treści programowe </w:t>
      </w:r>
      <w:r w:rsidRPr="00853506">
        <w:rPr>
          <w:rFonts w:ascii="Corbel" w:hAnsi="Corbel" w:cs="Corbel"/>
          <w:sz w:val="24"/>
          <w:szCs w:val="24"/>
        </w:rPr>
        <w:t xml:space="preserve">  </w:t>
      </w:r>
    </w:p>
    <w:p w:rsidR="003D558A" w:rsidRPr="00853506" w:rsidRDefault="004537C2">
      <w:pPr>
        <w:pStyle w:val="Akapitzlist1"/>
        <w:numPr>
          <w:ilvl w:val="0"/>
          <w:numId w:val="2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00853506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9550"/>
      </w:tblGrid>
      <w:tr w:rsidR="003D558A" w:rsidRPr="00853506">
        <w:tc>
          <w:tcPr>
            <w:tcW w:w="9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3D558A" w:rsidRPr="00853506">
        <w:tc>
          <w:tcPr>
            <w:tcW w:w="9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 xml:space="preserve">Zagadnienia wstępne: </w:t>
            </w:r>
            <w:proofErr w:type="spellStart"/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>dane-informacja-wiedza</w:t>
            </w:r>
            <w:proofErr w:type="spellEnd"/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 xml:space="preserve"> – 1 godz. </w:t>
            </w:r>
          </w:p>
        </w:tc>
      </w:tr>
      <w:tr w:rsidR="003D558A" w:rsidRPr="00853506">
        <w:tc>
          <w:tcPr>
            <w:tcW w:w="9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 xml:space="preserve">Rola informacji w życiu społecznym, teoria i praktyka – 1 godz. </w:t>
            </w:r>
          </w:p>
        </w:tc>
      </w:tr>
      <w:tr w:rsidR="003D558A" w:rsidRPr="00853506">
        <w:tc>
          <w:tcPr>
            <w:tcW w:w="9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 xml:space="preserve">Informacja prawnie chroniona, zagrożenia dla bezpieczeństwa informacji – 1 godz. </w:t>
            </w:r>
          </w:p>
        </w:tc>
      </w:tr>
      <w:tr w:rsidR="003D558A" w:rsidRPr="00853506">
        <w:tc>
          <w:tcPr>
            <w:tcW w:w="9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 xml:space="preserve">Aspekty historyczne związane z ochroną informacji– 1 godz. </w:t>
            </w:r>
          </w:p>
        </w:tc>
      </w:tr>
      <w:tr w:rsidR="003D558A" w:rsidRPr="00853506">
        <w:tc>
          <w:tcPr>
            <w:tcW w:w="9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 xml:space="preserve">Państwo jako podmiot bezpieczeństwa a prawo do informacji – 1 godz. </w:t>
            </w:r>
          </w:p>
        </w:tc>
      </w:tr>
      <w:tr w:rsidR="003D558A" w:rsidRPr="00853506">
        <w:tc>
          <w:tcPr>
            <w:tcW w:w="9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 xml:space="preserve">Europejskie standardy zarządzaniem bezpieczeństwem informacji: UE, NATO, ISO:27001-  1 godz. </w:t>
            </w:r>
          </w:p>
        </w:tc>
      </w:tr>
      <w:tr w:rsidR="003D558A" w:rsidRPr="00853506">
        <w:tc>
          <w:tcPr>
            <w:tcW w:w="9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 xml:space="preserve">Podstawowe pojęcia ustawowe dotyczące ochrony informacji niejawnych – 1 godz. </w:t>
            </w:r>
          </w:p>
        </w:tc>
      </w:tr>
      <w:tr w:rsidR="003D558A" w:rsidRPr="00853506">
        <w:tc>
          <w:tcPr>
            <w:tcW w:w="9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pacing w:after="0" w:line="240" w:lineRule="auto"/>
              <w:jc w:val="both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 xml:space="preserve">Klasyfikowanie informacji niejawnych – 1 godz. </w:t>
            </w:r>
          </w:p>
        </w:tc>
      </w:tr>
      <w:tr w:rsidR="003D558A" w:rsidRPr="00853506">
        <w:tc>
          <w:tcPr>
            <w:tcW w:w="9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widowControl w:val="0"/>
              <w:spacing w:after="0" w:line="240" w:lineRule="auto"/>
              <w:jc w:val="both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lang w:eastAsia="hi-IN" w:bidi="hi-IN"/>
              </w:rPr>
              <w:t>Dostęp do informacji niejawnych</w:t>
            </w:r>
          </w:p>
          <w:p w:rsidR="003D558A" w:rsidRPr="00853506" w:rsidRDefault="004537C2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lang w:eastAsia="hi-IN" w:bidi="hi-IN"/>
              </w:rPr>
              <w:t>warunki</w:t>
            </w:r>
          </w:p>
          <w:p w:rsidR="003D558A" w:rsidRPr="00853506" w:rsidRDefault="004537C2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lang w:eastAsia="hi-IN" w:bidi="hi-IN"/>
              </w:rPr>
              <w:t>ankiety bezpieczeństwa</w:t>
            </w:r>
          </w:p>
          <w:p w:rsidR="003D558A" w:rsidRPr="00853506" w:rsidRDefault="004537C2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Corbel" w:eastAsia="Lucida Sans Unicode" w:hAnsi="Corbel" w:cs="Corbel"/>
                <w:kern w:val="1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lang w:eastAsia="hi-IN" w:bidi="hi-IN"/>
              </w:rPr>
              <w:t>certyfikaty</w:t>
            </w:r>
          </w:p>
          <w:p w:rsidR="003D558A" w:rsidRPr="00853506" w:rsidRDefault="004537C2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lang w:eastAsia="hi-IN" w:bidi="hi-IN"/>
              </w:rPr>
              <w:t>postępowania sprawdzające</w:t>
            </w:r>
          </w:p>
          <w:p w:rsidR="003D558A" w:rsidRPr="00853506" w:rsidRDefault="004537C2">
            <w:pPr>
              <w:widowControl w:val="0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 xml:space="preserve">postępowania odwoławcze </w:t>
            </w:r>
          </w:p>
          <w:p w:rsidR="003D558A" w:rsidRPr="00853506" w:rsidRDefault="004537C2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>3 godz.</w:t>
            </w:r>
          </w:p>
        </w:tc>
      </w:tr>
      <w:tr w:rsidR="003D558A" w:rsidRPr="00853506">
        <w:tc>
          <w:tcPr>
            <w:tcW w:w="9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853506">
              <w:rPr>
                <w:rFonts w:ascii="Corbel" w:eastAsia="ArialUnicodeMS-WinCharSetFFFF-H" w:hAnsi="Corbel" w:cs="Corbel"/>
                <w:color w:val="000000"/>
                <w:kern w:val="1"/>
                <w:sz w:val="24"/>
                <w:szCs w:val="24"/>
                <w:lang w:eastAsia="hi-IN" w:bidi="hi-IN"/>
              </w:rPr>
              <w:t>Odpowiedzialność za przestępstwa przeciwko ochronie informacji – 2 godz.</w:t>
            </w:r>
          </w:p>
        </w:tc>
      </w:tr>
      <w:tr w:rsidR="003D558A" w:rsidRPr="00853506">
        <w:tc>
          <w:tcPr>
            <w:tcW w:w="9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853506">
              <w:rPr>
                <w:rFonts w:ascii="Corbel" w:eastAsia="ArialUnicodeMS-WinCharSetFFFF-H" w:hAnsi="Corbel" w:cs="Corbel"/>
                <w:color w:val="000000"/>
                <w:kern w:val="1"/>
                <w:sz w:val="24"/>
                <w:szCs w:val="24"/>
                <w:lang w:eastAsia="hi-IN" w:bidi="hi-IN"/>
              </w:rPr>
              <w:t xml:space="preserve">Łącznie: 15 godz. </w:t>
            </w:r>
          </w:p>
        </w:tc>
      </w:tr>
    </w:tbl>
    <w:p w:rsidR="003D558A" w:rsidRPr="00853506" w:rsidRDefault="003D558A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:rsidR="003D558A" w:rsidRPr="00853506" w:rsidRDefault="004537C2">
      <w:pPr>
        <w:pStyle w:val="Akapitzlist1"/>
        <w:numPr>
          <w:ilvl w:val="0"/>
          <w:numId w:val="2"/>
        </w:numPr>
        <w:spacing w:line="100" w:lineRule="atLeast"/>
        <w:jc w:val="both"/>
        <w:rPr>
          <w:rFonts w:ascii="Corbel" w:hAnsi="Corbel" w:cs="Corbel"/>
          <w:sz w:val="24"/>
          <w:szCs w:val="24"/>
        </w:rPr>
      </w:pPr>
      <w:r w:rsidRPr="00853506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9550"/>
      </w:tblGrid>
      <w:tr w:rsidR="003D558A" w:rsidRPr="00853506">
        <w:tc>
          <w:tcPr>
            <w:tcW w:w="9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Akapitzlist1"/>
              <w:spacing w:after="0" w:line="100" w:lineRule="atLeast"/>
              <w:ind w:left="708" w:hanging="708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3D558A" w:rsidRPr="00853506">
        <w:tc>
          <w:tcPr>
            <w:tcW w:w="9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853506">
            <w:pPr>
              <w:widowControl w:val="0"/>
              <w:snapToGrid w:val="0"/>
              <w:spacing w:after="0" w:line="240" w:lineRule="auto"/>
              <w:jc w:val="both"/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</w:pPr>
            <w:r w:rsidRPr="00853506">
              <w:rPr>
                <w:rFonts w:ascii="Corbel" w:eastAsia="Lucida Sans Unicode" w:hAnsi="Corbel" w:cs="Corbel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</w:tbl>
    <w:p w:rsidR="003D558A" w:rsidRPr="00853506" w:rsidRDefault="003D558A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3D558A" w:rsidRPr="00853506" w:rsidRDefault="004537C2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 w:rsidRPr="00853506">
        <w:rPr>
          <w:rFonts w:ascii="Corbel" w:hAnsi="Corbel" w:cs="Corbel"/>
          <w:smallCaps w:val="0"/>
          <w:szCs w:val="24"/>
        </w:rPr>
        <w:t>3.4 Metody dydaktyczne</w:t>
      </w:r>
      <w:r w:rsidRPr="00853506"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="003D558A" w:rsidRPr="00853506" w:rsidRDefault="003D558A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D558A" w:rsidRPr="00853506" w:rsidRDefault="004537C2">
      <w:pPr>
        <w:pStyle w:val="Punktygwne"/>
        <w:spacing w:before="0" w:after="0"/>
        <w:jc w:val="both"/>
        <w:rPr>
          <w:rFonts w:ascii="Corbel" w:hAnsi="Corbel" w:cs="Corbel"/>
          <w:b w:val="0"/>
          <w:i/>
          <w:sz w:val="20"/>
          <w:szCs w:val="20"/>
        </w:rPr>
      </w:pPr>
      <w:r w:rsidRPr="00853506">
        <w:rPr>
          <w:rFonts w:ascii="Corbel" w:hAnsi="Corbel" w:cs="Corbel"/>
          <w:b w:val="0"/>
          <w:smallCaps w:val="0"/>
          <w:sz w:val="20"/>
          <w:szCs w:val="20"/>
        </w:rPr>
        <w:t>Np</w:t>
      </w:r>
      <w:r w:rsidRPr="00853506">
        <w:rPr>
          <w:rFonts w:ascii="Corbel" w:hAnsi="Corbel" w:cs="Corbel"/>
          <w:sz w:val="20"/>
          <w:szCs w:val="20"/>
        </w:rPr>
        <w:t xml:space="preserve">.: </w:t>
      </w:r>
    </w:p>
    <w:p w:rsidR="003D558A" w:rsidRPr="00853506" w:rsidRDefault="004537C2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 w:rsidRPr="00853506">
        <w:rPr>
          <w:rFonts w:ascii="Corbel" w:hAnsi="Corbel" w:cs="Corbel"/>
          <w:b w:val="0"/>
          <w:i/>
          <w:sz w:val="20"/>
          <w:szCs w:val="20"/>
        </w:rPr>
        <w:t xml:space="preserve"> </w:t>
      </w:r>
      <w:r w:rsidRPr="00853506"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3D558A" w:rsidRPr="00853506" w:rsidRDefault="004537C2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 w:rsidRPr="00853506"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3D558A" w:rsidRPr="00853506" w:rsidRDefault="004537C2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Cs w:val="24"/>
        </w:rPr>
      </w:pPr>
      <w:r w:rsidRPr="00853506">
        <w:rPr>
          <w:rFonts w:ascii="Corbel" w:hAnsi="Corbel" w:cs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3D558A" w:rsidRPr="00853506" w:rsidRDefault="003D558A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D558A" w:rsidRPr="00853506" w:rsidRDefault="004537C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 w:rsidRPr="00853506">
        <w:rPr>
          <w:rFonts w:ascii="Corbel" w:hAnsi="Corbel" w:cs="Corbel"/>
          <w:b w:val="0"/>
          <w:smallCaps w:val="0"/>
          <w:sz w:val="22"/>
          <w:szCs w:val="24"/>
        </w:rPr>
        <w:t>Wykład: wykład informacyjny i wykład konwersatoryjny, dyskusja panelowa.</w:t>
      </w:r>
    </w:p>
    <w:p w:rsidR="003D558A" w:rsidRPr="00853506" w:rsidRDefault="003D558A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3D558A" w:rsidRPr="00853506" w:rsidRDefault="004537C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 w:rsidRPr="00853506"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3D558A" w:rsidRPr="00853506" w:rsidRDefault="003D558A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3D558A" w:rsidRPr="00853506" w:rsidRDefault="004537C2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 w:rsidRPr="00853506"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3D558A" w:rsidRPr="00853506" w:rsidRDefault="003D558A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1962"/>
        <w:gridCol w:w="5440"/>
        <w:gridCol w:w="2148"/>
      </w:tblGrid>
      <w:tr w:rsidR="003D558A" w:rsidRPr="00853506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853506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3D558A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D558A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3D558A" w:rsidRPr="00853506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C86E4F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C86E4F">
              <w:rPr>
                <w:rFonts w:ascii="Corbel" w:hAnsi="Corbel" w:cs="Corbel"/>
                <w:b w:val="0"/>
                <w:szCs w:val="24"/>
              </w:rPr>
              <w:t>EK</w:t>
            </w:r>
            <w:r w:rsidR="004537C2" w:rsidRPr="00853506">
              <w:rPr>
                <w:rFonts w:ascii="Corbel" w:hAnsi="Corbel" w:cs="Corbel"/>
                <w:b w:val="0"/>
                <w:szCs w:val="24"/>
              </w:rPr>
              <w:t xml:space="preserve">_ 01 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3D558A" w:rsidRPr="00853506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02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3D558A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03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3D558A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04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3D558A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05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3D558A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06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3D558A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lastRenderedPageBreak/>
              <w:t>Ek_ 07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3D558A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08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3D558A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09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3D558A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10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3D558A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11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3D558A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12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3D558A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13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  <w:tr w:rsidR="003D558A" w:rsidRPr="00853506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Ek_ 14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z w:val="22"/>
                <w:szCs w:val="24"/>
              </w:rPr>
              <w:t xml:space="preserve">-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Zaliczenie pisemne z oceną (test z pytaniami otwartymi)</w:t>
            </w:r>
          </w:p>
        </w:tc>
        <w:tc>
          <w:tcPr>
            <w:tcW w:w="2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szCs w:val="24"/>
              </w:rPr>
              <w:t>w.</w:t>
            </w:r>
          </w:p>
        </w:tc>
      </w:tr>
    </w:tbl>
    <w:p w:rsidR="003D558A" w:rsidRPr="00853506" w:rsidRDefault="003D558A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D558A" w:rsidRPr="00853506" w:rsidRDefault="004537C2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 w:rsidRPr="00853506"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3D558A" w:rsidRPr="00853506" w:rsidRDefault="003D558A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9550"/>
      </w:tblGrid>
      <w:tr w:rsidR="003D558A" w:rsidRPr="00853506">
        <w:tc>
          <w:tcPr>
            <w:tcW w:w="9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3D558A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 xml:space="preserve">Test z pytaniami otwartymi. </w:t>
            </w:r>
            <w:r w:rsidRPr="00853506">
              <w:rPr>
                <w:rFonts w:ascii="Corbel" w:hAnsi="Corbel" w:cs="Corbel"/>
                <w:b w:val="0"/>
                <w:smallCaps w:val="0"/>
                <w:sz w:val="22"/>
                <w:szCs w:val="24"/>
              </w:rPr>
              <w:t>Minimalne warunki zaliczenia – 60% zdobytych punktów. Kryteria oceny: kompletność odpowiedzi, użyta terminologia, aktualny stan prawny.</w:t>
            </w:r>
          </w:p>
          <w:p w:rsidR="003D558A" w:rsidRPr="00853506" w:rsidRDefault="003D558A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3D558A" w:rsidRPr="00853506" w:rsidRDefault="003D558A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D558A" w:rsidRPr="00853506" w:rsidRDefault="004537C2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 w:rsidRPr="00853506"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3D558A" w:rsidRPr="00853506" w:rsidRDefault="003D558A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94" w:type="dxa"/>
        <w:tblLayout w:type="fixed"/>
        <w:tblLook w:val="0000" w:firstRow="0" w:lastRow="0" w:firstColumn="0" w:lastColumn="0" w:noHBand="0" w:noVBand="0"/>
      </w:tblPr>
      <w:tblGrid>
        <w:gridCol w:w="4901"/>
        <w:gridCol w:w="4648"/>
      </w:tblGrid>
      <w:tr w:rsidR="003D558A" w:rsidRPr="00853506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 w:rsidRPr="00853506"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58A" w:rsidRPr="00853506" w:rsidRDefault="004537C2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D558A" w:rsidRPr="00853506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 xml:space="preserve">Wykład – 15. </w:t>
            </w:r>
            <w:r w:rsidR="00853506" w:rsidRPr="00853506">
              <w:rPr>
                <w:rFonts w:ascii="Corbel" w:hAnsi="Corbel" w:cs="Corbel"/>
                <w:sz w:val="24"/>
                <w:szCs w:val="24"/>
              </w:rPr>
              <w:t>g</w:t>
            </w:r>
            <w:r w:rsidRPr="00853506">
              <w:rPr>
                <w:rFonts w:ascii="Corbel" w:hAnsi="Corbel" w:cs="Corbel"/>
                <w:sz w:val="24"/>
                <w:szCs w:val="24"/>
              </w:rPr>
              <w:t>odz</w:t>
            </w:r>
            <w:r w:rsidR="00853506" w:rsidRPr="00853506">
              <w:rPr>
                <w:rFonts w:ascii="Corbel" w:hAnsi="Corbel" w:cs="Corbel"/>
                <w:sz w:val="24"/>
                <w:szCs w:val="24"/>
              </w:rPr>
              <w:t>.</w:t>
            </w:r>
          </w:p>
        </w:tc>
      </w:tr>
      <w:tr w:rsidR="003D558A" w:rsidRPr="00853506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:rsidR="003D558A" w:rsidRPr="00853506" w:rsidRDefault="004537C2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Udział w konsultacjach - 10 godz.</w:t>
            </w:r>
          </w:p>
          <w:p w:rsidR="003D558A" w:rsidRPr="00853506" w:rsidRDefault="004537C2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Udział w teście – 1 godz.</w:t>
            </w:r>
          </w:p>
        </w:tc>
      </w:tr>
      <w:tr w:rsidR="003D558A" w:rsidRPr="00853506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:rsidR="003D558A" w:rsidRPr="00853506" w:rsidRDefault="004537C2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 xml:space="preserve">Przygotowanie do zaliczenia – 24. godz. </w:t>
            </w:r>
          </w:p>
          <w:p w:rsidR="003D558A" w:rsidRPr="00853506" w:rsidRDefault="003D558A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</w:p>
          <w:p w:rsidR="003D558A" w:rsidRPr="00853506" w:rsidRDefault="004537C2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</w:tc>
      </w:tr>
      <w:tr w:rsidR="003D558A" w:rsidRPr="00853506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 xml:space="preserve">50 godz. </w:t>
            </w:r>
          </w:p>
        </w:tc>
      </w:tr>
      <w:tr w:rsidR="003D558A" w:rsidRPr="00853506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853506"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:rsidR="003D558A" w:rsidRPr="00853506" w:rsidRDefault="004537C2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 w:rsidRPr="00853506"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3D558A" w:rsidRPr="00853506" w:rsidRDefault="003D558A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D558A" w:rsidRPr="00853506" w:rsidRDefault="004537C2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 w:rsidRPr="00853506">
        <w:rPr>
          <w:rFonts w:ascii="Corbel" w:hAnsi="Corbel" w:cs="Corbel"/>
          <w:smallCaps w:val="0"/>
          <w:szCs w:val="24"/>
        </w:rPr>
        <w:t>6. PRAKTYKI ZAWODOWE W RAMACH PRZEDMIOTU</w:t>
      </w:r>
    </w:p>
    <w:p w:rsidR="003D558A" w:rsidRPr="00853506" w:rsidRDefault="003D558A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3"/>
        <w:gridCol w:w="3999"/>
      </w:tblGrid>
      <w:tr w:rsidR="003D558A" w:rsidRPr="00853506" w:rsidTr="00853506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853506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853506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3D558A" w:rsidRPr="00853506" w:rsidTr="00853506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853506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853506">
              <w:rPr>
                <w:rFonts w:ascii="Corbel" w:hAnsi="Corbel" w:cs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D558A" w:rsidRPr="00853506" w:rsidRDefault="003D558A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3D558A" w:rsidRPr="00853506" w:rsidRDefault="004537C2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 w:rsidRPr="00853506">
        <w:rPr>
          <w:rFonts w:ascii="Corbel" w:hAnsi="Corbel" w:cs="Corbel"/>
          <w:smallCaps w:val="0"/>
          <w:szCs w:val="24"/>
        </w:rPr>
        <w:t xml:space="preserve">7. LITERATURA </w:t>
      </w:r>
    </w:p>
    <w:p w:rsidR="003D558A" w:rsidRPr="00853506" w:rsidRDefault="003D558A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543"/>
      </w:tblGrid>
      <w:tr w:rsidR="003D558A" w:rsidRPr="00853506" w:rsidTr="00853506">
        <w:trPr>
          <w:trHeight w:val="397"/>
        </w:trPr>
        <w:tc>
          <w:tcPr>
            <w:tcW w:w="7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smallCaps w:val="0"/>
                <w:szCs w:val="24"/>
              </w:rPr>
            </w:pPr>
            <w:r w:rsidRPr="00853506">
              <w:rPr>
                <w:rFonts w:ascii="Corbel" w:hAnsi="Corbel" w:cs="Corbel"/>
                <w:smallCaps w:val="0"/>
                <w:szCs w:val="24"/>
              </w:rPr>
              <w:t>Literatura podstawowa:</w:t>
            </w:r>
          </w:p>
          <w:p w:rsidR="00853506" w:rsidRPr="00853506" w:rsidRDefault="00853506">
            <w:pPr>
              <w:pStyle w:val="Punktygwne"/>
              <w:spacing w:before="0" w:after="0"/>
              <w:rPr>
                <w:rFonts w:ascii="Corbel" w:hAnsi="Corbel" w:cs="Corbel"/>
                <w:smallCaps w:val="0"/>
                <w:color w:val="000000"/>
                <w:sz w:val="22"/>
                <w:szCs w:val="24"/>
              </w:rPr>
            </w:pPr>
          </w:p>
          <w:p w:rsidR="003D558A" w:rsidRPr="00853506" w:rsidRDefault="004537C2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pacing w:val="-15"/>
                <w:sz w:val="22"/>
                <w:szCs w:val="24"/>
              </w:rPr>
            </w:pPr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>Ustawa o ochronie informacji niejawnych z 5 sierpnia 2010 r. (</w:t>
            </w:r>
            <w:proofErr w:type="spellStart"/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>t.j</w:t>
            </w:r>
            <w:proofErr w:type="spellEnd"/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>. Dz. U. Z 2019 r.  poz. 742); Rozporządzenia wykonawcze do wyżej wymienionej ustawy;</w:t>
            </w:r>
          </w:p>
          <w:p w:rsidR="003D558A" w:rsidRPr="00853506" w:rsidRDefault="004537C2">
            <w:pPr>
              <w:pStyle w:val="Nagwek1"/>
              <w:spacing w:before="0" w:after="0"/>
              <w:jc w:val="both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color w:val="000000"/>
                <w:spacing w:val="-15"/>
                <w:sz w:val="22"/>
                <w:szCs w:val="24"/>
              </w:rPr>
              <w:t xml:space="preserve">Ochrona danych osobowych i informacji niejawnych z uwzględnieniem ogólnego rozporządzenia unijnego, (red.) Dariusz </w:t>
            </w:r>
            <w:proofErr w:type="spellStart"/>
            <w:r w:rsidRPr="00853506">
              <w:rPr>
                <w:rFonts w:ascii="Corbel" w:hAnsi="Corbel" w:cs="Corbel"/>
                <w:b w:val="0"/>
                <w:color w:val="000000"/>
                <w:spacing w:val="-15"/>
                <w:sz w:val="22"/>
                <w:szCs w:val="24"/>
              </w:rPr>
              <w:t>Wociór</w:t>
            </w:r>
            <w:proofErr w:type="spellEnd"/>
            <w:r w:rsidRPr="00853506">
              <w:rPr>
                <w:rFonts w:ascii="Corbel" w:hAnsi="Corbel" w:cs="Corbel"/>
                <w:b w:val="0"/>
                <w:color w:val="000000"/>
                <w:spacing w:val="-15"/>
                <w:sz w:val="22"/>
                <w:szCs w:val="24"/>
              </w:rPr>
              <w:t xml:space="preserve">, Warszawa 2016, </w:t>
            </w:r>
            <w:r w:rsidRPr="00853506">
              <w:rPr>
                <w:rFonts w:ascii="Corbel" w:hAnsi="Corbel" w:cs="Corbel"/>
                <w:b w:val="0"/>
                <w:color w:val="000000"/>
                <w:sz w:val="22"/>
                <w:szCs w:val="24"/>
              </w:rPr>
              <w:t xml:space="preserve">  </w:t>
            </w:r>
            <w:r w:rsidRPr="00853506">
              <w:rPr>
                <w:rFonts w:ascii="Corbel" w:hAnsi="Corbel" w:cs="Corbel"/>
                <w:b w:val="0"/>
                <w:i/>
                <w:iCs/>
                <w:color w:val="000000"/>
                <w:sz w:val="22"/>
                <w:szCs w:val="24"/>
              </w:rPr>
              <w:t>Bezpieczeństwo informacji - od teorii do praktyki</w:t>
            </w:r>
            <w:r w:rsidRPr="00853506">
              <w:rPr>
                <w:rFonts w:ascii="Corbel" w:hAnsi="Corbel" w:cs="Corbel"/>
                <w:b w:val="0"/>
                <w:color w:val="000000"/>
                <w:sz w:val="22"/>
                <w:szCs w:val="24"/>
              </w:rPr>
              <w:t xml:space="preserve">, red. M. Miłosz, Warszawa 2005; S. Zalewski, </w:t>
            </w:r>
            <w:r w:rsidRPr="00853506">
              <w:rPr>
                <w:rFonts w:ascii="Corbel" w:hAnsi="Corbel" w:cs="Corbel"/>
                <w:b w:val="0"/>
                <w:i/>
                <w:iCs/>
                <w:color w:val="000000"/>
                <w:sz w:val="22"/>
                <w:szCs w:val="24"/>
              </w:rPr>
              <w:t>Dylematy ochrony informacji niejawnych</w:t>
            </w:r>
            <w:r w:rsidRPr="00853506">
              <w:rPr>
                <w:rFonts w:ascii="Corbel" w:hAnsi="Corbel" w:cs="Corbel"/>
                <w:b w:val="0"/>
                <w:color w:val="000000"/>
                <w:sz w:val="22"/>
                <w:szCs w:val="24"/>
              </w:rPr>
              <w:t xml:space="preserve">, Katowice 2009; S. Hoc Stanisław, </w:t>
            </w:r>
            <w:r w:rsidRPr="00853506">
              <w:rPr>
                <w:rFonts w:ascii="Corbel" w:hAnsi="Corbel" w:cs="Corbel"/>
                <w:b w:val="0"/>
                <w:i/>
                <w:iCs/>
                <w:color w:val="000000"/>
                <w:sz w:val="22"/>
                <w:szCs w:val="24"/>
              </w:rPr>
              <w:lastRenderedPageBreak/>
              <w:t>Ustawa o ochronie informacji niejawnych, komentarz do ustawy</w:t>
            </w:r>
            <w:r w:rsidRPr="00853506">
              <w:rPr>
                <w:rFonts w:ascii="Corbel" w:hAnsi="Corbel" w:cs="Corbel"/>
                <w:b w:val="0"/>
                <w:color w:val="000000"/>
                <w:sz w:val="22"/>
                <w:szCs w:val="24"/>
              </w:rPr>
              <w:t xml:space="preserve">, Warszawa 2010; I. Stankowska, </w:t>
            </w:r>
            <w:r w:rsidRPr="00853506">
              <w:rPr>
                <w:rFonts w:ascii="Corbel" w:hAnsi="Corbel" w:cs="Corbel"/>
                <w:b w:val="0"/>
                <w:i/>
                <w:iCs/>
                <w:color w:val="000000"/>
                <w:sz w:val="22"/>
                <w:szCs w:val="24"/>
              </w:rPr>
              <w:t>Ustawa o ochronie informacji niejawnych, komentarz,</w:t>
            </w:r>
            <w:r w:rsidRPr="00853506">
              <w:rPr>
                <w:rFonts w:ascii="Corbel" w:hAnsi="Corbel" w:cs="Corbel"/>
                <w:b w:val="0"/>
                <w:color w:val="000000"/>
                <w:sz w:val="22"/>
                <w:szCs w:val="24"/>
              </w:rPr>
              <w:t xml:space="preserve"> Warszawa 2011;</w:t>
            </w:r>
          </w:p>
        </w:tc>
      </w:tr>
      <w:tr w:rsidR="003D558A" w:rsidRPr="00853506" w:rsidTr="00853506">
        <w:trPr>
          <w:trHeight w:val="397"/>
        </w:trPr>
        <w:tc>
          <w:tcPr>
            <w:tcW w:w="7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558A" w:rsidRPr="00853506" w:rsidRDefault="004537C2">
            <w:pPr>
              <w:pStyle w:val="Punktygwne"/>
              <w:spacing w:before="0" w:after="0"/>
              <w:rPr>
                <w:rFonts w:ascii="Corbel" w:hAnsi="Corbel" w:cs="Corbel"/>
                <w:smallCaps w:val="0"/>
                <w:szCs w:val="24"/>
              </w:rPr>
            </w:pPr>
            <w:r w:rsidRPr="00853506">
              <w:rPr>
                <w:rFonts w:ascii="Corbel" w:hAnsi="Corbel" w:cs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853506" w:rsidRPr="00853506" w:rsidRDefault="00853506">
            <w:pPr>
              <w:pStyle w:val="Punktygwne"/>
              <w:spacing w:before="0" w:after="0"/>
              <w:rPr>
                <w:rFonts w:ascii="Corbel" w:hAnsi="Corbel" w:cs="Corbel"/>
                <w:i/>
                <w:iCs/>
                <w:smallCaps w:val="0"/>
                <w:color w:val="000000"/>
                <w:sz w:val="22"/>
                <w:szCs w:val="24"/>
              </w:rPr>
            </w:pPr>
          </w:p>
          <w:p w:rsidR="003D558A" w:rsidRPr="00853506" w:rsidRDefault="004537C2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 w:rsidRPr="00853506">
              <w:rPr>
                <w:rFonts w:ascii="Corbel" w:hAnsi="Corbel" w:cs="Corbel"/>
                <w:b w:val="0"/>
                <w:iCs/>
                <w:smallCaps w:val="0"/>
                <w:color w:val="000000"/>
                <w:sz w:val="22"/>
                <w:szCs w:val="24"/>
              </w:rPr>
              <w:t>Bezpieczeństwo informacji III Rzeczypospolitej</w:t>
            </w:r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 xml:space="preserve">, red. A. Żebrowski, W. Kwiatkowski, Kraków 2000; D. E. </w:t>
            </w:r>
            <w:proofErr w:type="spellStart"/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>Denning</w:t>
            </w:r>
            <w:proofErr w:type="spellEnd"/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 xml:space="preserve">, </w:t>
            </w:r>
            <w:r w:rsidRPr="00853506">
              <w:rPr>
                <w:rFonts w:ascii="Corbel" w:hAnsi="Corbel" w:cs="Corbel"/>
                <w:b w:val="0"/>
                <w:iCs/>
                <w:smallCaps w:val="0"/>
                <w:color w:val="000000"/>
                <w:sz w:val="22"/>
                <w:szCs w:val="24"/>
              </w:rPr>
              <w:t>Wojna informacyjna i bezpieczeństwo informacji,</w:t>
            </w:r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 xml:space="preserve"> Warszawa 2002; C, Evans, </w:t>
            </w:r>
            <w:r w:rsidRPr="00853506">
              <w:rPr>
                <w:rFonts w:ascii="Corbel" w:hAnsi="Corbel" w:cs="Corbel"/>
                <w:b w:val="0"/>
                <w:iCs/>
                <w:smallCaps w:val="0"/>
                <w:color w:val="000000"/>
                <w:sz w:val="22"/>
                <w:szCs w:val="24"/>
              </w:rPr>
              <w:t>Zarządzanie wiedzą</w:t>
            </w:r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 xml:space="preserve">, Warszawa 2005; </w:t>
            </w:r>
            <w:r w:rsidRPr="00853506">
              <w:rPr>
                <w:rFonts w:ascii="Corbel" w:hAnsi="Corbel" w:cs="Corbel"/>
                <w:b w:val="0"/>
                <w:iCs/>
                <w:smallCaps w:val="0"/>
                <w:color w:val="000000"/>
                <w:sz w:val="22"/>
                <w:szCs w:val="24"/>
              </w:rPr>
              <w:t>Zarządzanie wiedzą i informacją w przedsiębiorstwie i jednostce samorządu terytorialnego</w:t>
            </w:r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 xml:space="preserve">, red. P. Laskowski, M. Morawski, Wałbrzych 2004; A. Gałach, R. Wójcik, </w:t>
            </w:r>
            <w:r w:rsidRPr="00853506">
              <w:rPr>
                <w:rFonts w:ascii="Corbel" w:hAnsi="Corbel" w:cs="Corbel"/>
                <w:b w:val="0"/>
                <w:iCs/>
                <w:smallCaps w:val="0"/>
                <w:color w:val="000000"/>
                <w:sz w:val="22"/>
                <w:szCs w:val="24"/>
              </w:rPr>
              <w:t>Zarządzanie bezpieczeństwem informacji w sektorze publicznym</w:t>
            </w:r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 xml:space="preserve">, Warszawa 2009; J. Łuczak, M. Tyburski, </w:t>
            </w:r>
            <w:r w:rsidRPr="00853506">
              <w:rPr>
                <w:rFonts w:ascii="Corbel" w:hAnsi="Corbel" w:cs="Corbel"/>
                <w:b w:val="0"/>
                <w:iCs/>
                <w:smallCaps w:val="0"/>
                <w:color w:val="000000"/>
                <w:sz w:val="22"/>
                <w:szCs w:val="24"/>
              </w:rPr>
              <w:t>Systemowe zarządzanie bezpieczeństwem informacji ISO/IEC 27001</w:t>
            </w:r>
            <w:r w:rsidRPr="00853506">
              <w:rPr>
                <w:rFonts w:ascii="Corbel" w:hAnsi="Corbel" w:cs="Corbel"/>
                <w:b w:val="0"/>
                <w:smallCaps w:val="0"/>
                <w:color w:val="000000"/>
                <w:sz w:val="22"/>
                <w:szCs w:val="24"/>
              </w:rPr>
              <w:t>, Poznań 2010.</w:t>
            </w:r>
          </w:p>
        </w:tc>
      </w:tr>
    </w:tbl>
    <w:p w:rsidR="003D558A" w:rsidRDefault="003D558A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C86E4F" w:rsidRPr="00853506" w:rsidRDefault="00C86E4F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 xml:space="preserve">Akceptacja Kierownika Jednostki lub osoby upoważnionej </w:t>
      </w:r>
    </w:p>
    <w:p w:rsidR="003D558A" w:rsidRPr="00853506" w:rsidRDefault="003D558A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4537C2" w:rsidRPr="00853506" w:rsidRDefault="004537C2">
      <w:pPr>
        <w:pStyle w:val="Punktygwne"/>
        <w:spacing w:before="0" w:after="0"/>
        <w:ind w:left="360"/>
        <w:rPr>
          <w:rFonts w:ascii="Corbel" w:hAnsi="Corbel"/>
        </w:rPr>
      </w:pPr>
      <w:r w:rsidRPr="00853506"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4537C2" w:rsidRPr="00853506" w:rsidSect="00853506">
      <w:pgSz w:w="11906" w:h="16838"/>
      <w:pgMar w:top="851" w:right="1134" w:bottom="851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17BB" w:rsidRDefault="00AB17BB">
      <w:pPr>
        <w:spacing w:after="0" w:line="240" w:lineRule="auto"/>
      </w:pPr>
      <w:r>
        <w:separator/>
      </w:r>
    </w:p>
  </w:endnote>
  <w:endnote w:type="continuationSeparator" w:id="0">
    <w:p w:rsidR="00AB17BB" w:rsidRDefault="00AB1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UnicodeMS-WinCharSetFFFF-H"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17BB" w:rsidRDefault="00AB17BB">
      <w:pPr>
        <w:spacing w:after="0" w:line="240" w:lineRule="auto"/>
      </w:pPr>
      <w:r>
        <w:separator/>
      </w:r>
    </w:p>
  </w:footnote>
  <w:footnote w:type="continuationSeparator" w:id="0">
    <w:p w:rsidR="00AB17BB" w:rsidRDefault="00AB17BB">
      <w:pPr>
        <w:spacing w:after="0" w:line="240" w:lineRule="auto"/>
      </w:pPr>
      <w:r>
        <w:continuationSeparator/>
      </w:r>
    </w:p>
  </w:footnote>
  <w:footnote w:id="1">
    <w:p w:rsidR="003D558A" w:rsidRPr="00853506" w:rsidRDefault="004537C2" w:rsidP="00853506">
      <w:pPr>
        <w:rPr>
          <w:sz w:val="20"/>
        </w:rPr>
      </w:pPr>
      <w:r w:rsidRPr="00853506">
        <w:rPr>
          <w:rStyle w:val="Znakiprzypiswdolnych"/>
          <w:rFonts w:ascii="Corbel" w:hAnsi="Corbel"/>
          <w:vertAlign w:val="superscript"/>
        </w:rPr>
        <w:footnoteRef/>
      </w:r>
      <w:r w:rsidR="00853506">
        <w:t xml:space="preserve"> </w:t>
      </w:r>
      <w:r w:rsidRPr="00853506">
        <w:rPr>
          <w:sz w:val="20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40508F9A"/>
    <w:name w:val="WW8Num2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  <w:rPr>
        <w:rFonts w:ascii="Corbel" w:hAnsi="Corbel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506"/>
    <w:rsid w:val="003D558A"/>
    <w:rsid w:val="004537C2"/>
    <w:rsid w:val="00853506"/>
    <w:rsid w:val="00AB17BB"/>
    <w:rsid w:val="00C86E4F"/>
    <w:rsid w:val="00E8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693A3C74-BC2B-418E-90FC-1F7C3CE7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  <w:rPr>
      <w:rFonts w:ascii="Times New Roman" w:eastAsia="Lucida Sans Unicode" w:hAnsi="Times New Roman" w:cs="Tahoma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Times New Roman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omylnaczcionkaakapitu1">
    <w:name w:val="Domyślna czcionka akapitu1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1256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3</cp:revision>
  <cp:lastPrinted>2019-02-06T11:12:00Z</cp:lastPrinted>
  <dcterms:created xsi:type="dcterms:W3CDTF">2021-04-09T11:53:00Z</dcterms:created>
  <dcterms:modified xsi:type="dcterms:W3CDTF">2021-04-26T10:44:00Z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